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F921" w14:textId="42210BA4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Lydney Youth Hub</w:t>
      </w:r>
      <w:r w:rsidRPr="00DF7784">
        <w:rPr>
          <w:rFonts w:asciiTheme="minorHAnsi" w:hAnsiTheme="minorHAnsi" w:cstheme="minorHAnsi"/>
          <w:sz w:val="24"/>
          <w:szCs w:val="24"/>
        </w:rPr>
        <w:t xml:space="preserve"> is committed to upholding excellent levels of health and safety to safeguard the health and wellbeing of all our leaders, young people, and visitors, and providing activities in a safe environment without risk as far as is reasonably practicable. </w:t>
      </w:r>
    </w:p>
    <w:p w14:paraId="3D6FE220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0330EFFC" w14:textId="1E223671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The overall responsibility for the implementation of this policy rests with the </w:t>
      </w:r>
      <w:r w:rsidR="00DA609C">
        <w:rPr>
          <w:rFonts w:asciiTheme="minorHAnsi" w:hAnsiTheme="minorHAnsi" w:cstheme="minorHAnsi"/>
          <w:sz w:val="24"/>
          <w:szCs w:val="24"/>
        </w:rPr>
        <w:t>board of trustees</w:t>
      </w:r>
      <w:r w:rsidRPr="00DF7784">
        <w:rPr>
          <w:rFonts w:asciiTheme="minorHAnsi" w:hAnsiTheme="minorHAnsi" w:cstheme="minorHAnsi"/>
          <w:sz w:val="24"/>
          <w:szCs w:val="24"/>
        </w:rPr>
        <w:t xml:space="preserve">. Day to day responsibility for ensuring this policy is put into practice is delegated to </w:t>
      </w:r>
      <w:r>
        <w:rPr>
          <w:rFonts w:asciiTheme="minorHAnsi" w:hAnsiTheme="minorHAnsi" w:cstheme="minorHAnsi"/>
          <w:sz w:val="24"/>
          <w:szCs w:val="24"/>
        </w:rPr>
        <w:t>Emily Timmins</w:t>
      </w:r>
      <w:r w:rsidRPr="00DF7784">
        <w:rPr>
          <w:rFonts w:asciiTheme="minorHAnsi" w:hAnsiTheme="minorHAnsi" w:cstheme="minorHAnsi"/>
          <w:sz w:val="24"/>
          <w:szCs w:val="24"/>
        </w:rPr>
        <w:t xml:space="preserve">, Youth </w:t>
      </w:r>
      <w:r>
        <w:rPr>
          <w:rFonts w:asciiTheme="minorHAnsi" w:hAnsiTheme="minorHAnsi" w:cstheme="minorHAnsi"/>
          <w:sz w:val="24"/>
          <w:szCs w:val="24"/>
        </w:rPr>
        <w:t>Hub</w:t>
      </w:r>
      <w:r w:rsidRPr="00DF7784">
        <w:rPr>
          <w:rFonts w:asciiTheme="minorHAnsi" w:hAnsiTheme="minorHAnsi" w:cstheme="minorHAnsi"/>
          <w:sz w:val="24"/>
          <w:szCs w:val="24"/>
        </w:rPr>
        <w:t xml:space="preserve"> Leader. </w:t>
      </w:r>
    </w:p>
    <w:p w14:paraId="6D223765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3560FA66" w14:textId="60438A8B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The </w:t>
      </w:r>
      <w:r w:rsidR="00DA609C">
        <w:rPr>
          <w:rFonts w:asciiTheme="minorHAnsi" w:hAnsiTheme="minorHAnsi" w:cstheme="minorHAnsi"/>
          <w:sz w:val="24"/>
          <w:szCs w:val="24"/>
        </w:rPr>
        <w:t>board of trustees</w:t>
      </w:r>
      <w:r w:rsidRPr="00DF7784">
        <w:rPr>
          <w:rFonts w:asciiTheme="minorHAnsi" w:hAnsiTheme="minorHAnsi" w:cstheme="minorHAnsi"/>
          <w:sz w:val="24"/>
          <w:szCs w:val="24"/>
        </w:rPr>
        <w:t xml:space="preserve"> recognises that the youth </w:t>
      </w:r>
      <w:r>
        <w:rPr>
          <w:rFonts w:asciiTheme="minorHAnsi" w:hAnsiTheme="minorHAnsi" w:cstheme="minorHAnsi"/>
          <w:sz w:val="24"/>
          <w:szCs w:val="24"/>
        </w:rPr>
        <w:t>hub</w:t>
      </w:r>
      <w:r w:rsidRPr="00DF7784">
        <w:rPr>
          <w:rFonts w:asciiTheme="minorHAnsi" w:hAnsiTheme="minorHAnsi" w:cstheme="minorHAnsi"/>
          <w:sz w:val="24"/>
          <w:szCs w:val="24"/>
        </w:rPr>
        <w:t xml:space="preserve"> building, programme, and activities should be as safe as is reasonably possible. This includes identifying hazards and quantifying any associated risks. </w:t>
      </w:r>
    </w:p>
    <w:p w14:paraId="27245E25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5ED58793" w14:textId="6EF8B59F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The </w:t>
      </w:r>
      <w:r w:rsidR="00DA609C">
        <w:rPr>
          <w:rFonts w:asciiTheme="minorHAnsi" w:hAnsiTheme="minorHAnsi" w:cstheme="minorHAnsi"/>
          <w:sz w:val="24"/>
          <w:szCs w:val="24"/>
        </w:rPr>
        <w:t>board of trustees</w:t>
      </w:r>
      <w:r w:rsidR="00DA609C" w:rsidRPr="00DF7784">
        <w:rPr>
          <w:rFonts w:asciiTheme="minorHAnsi" w:hAnsiTheme="minorHAnsi" w:cstheme="minorHAnsi"/>
          <w:sz w:val="24"/>
          <w:szCs w:val="24"/>
        </w:rPr>
        <w:t xml:space="preserve"> </w:t>
      </w:r>
      <w:r w:rsidRPr="00DF7784">
        <w:rPr>
          <w:rFonts w:asciiTheme="minorHAnsi" w:hAnsiTheme="minorHAnsi" w:cstheme="minorHAnsi"/>
          <w:sz w:val="24"/>
          <w:szCs w:val="24"/>
        </w:rPr>
        <w:t xml:space="preserve">will: </w:t>
      </w:r>
    </w:p>
    <w:p w14:paraId="21A56BFF" w14:textId="3AB253AD" w:rsidR="00DF7784" w:rsidRDefault="00DF7784" w:rsidP="00DF7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Identify the risk assessments to be undertaken and delegate the responsibility of carrying out those assessments to </w:t>
      </w:r>
      <w:r>
        <w:rPr>
          <w:rFonts w:asciiTheme="minorHAnsi" w:hAnsiTheme="minorHAnsi" w:cstheme="minorHAnsi"/>
          <w:sz w:val="24"/>
          <w:szCs w:val="24"/>
        </w:rPr>
        <w:t>Emily Timmins</w:t>
      </w:r>
      <w:r w:rsidRPr="00DF7784">
        <w:rPr>
          <w:rFonts w:asciiTheme="minorHAnsi" w:hAnsiTheme="minorHAnsi" w:cstheme="minorHAnsi"/>
          <w:sz w:val="24"/>
          <w:szCs w:val="24"/>
        </w:rPr>
        <w:t xml:space="preserve"> and either a member </w:t>
      </w:r>
      <w:r w:rsidR="00DA609C">
        <w:rPr>
          <w:rFonts w:asciiTheme="minorHAnsi" w:hAnsiTheme="minorHAnsi" w:cstheme="minorHAnsi"/>
          <w:sz w:val="24"/>
          <w:szCs w:val="24"/>
        </w:rPr>
        <w:t xml:space="preserve">from the </w:t>
      </w:r>
      <w:r w:rsidR="00DA609C">
        <w:rPr>
          <w:rFonts w:asciiTheme="minorHAnsi" w:hAnsiTheme="minorHAnsi" w:cstheme="minorHAnsi"/>
          <w:sz w:val="24"/>
          <w:szCs w:val="24"/>
        </w:rPr>
        <w:t>board of trustees</w:t>
      </w:r>
      <w:r w:rsidR="00DA609C" w:rsidRPr="00DF7784">
        <w:rPr>
          <w:rFonts w:asciiTheme="minorHAnsi" w:hAnsiTheme="minorHAnsi" w:cstheme="minorHAnsi"/>
          <w:sz w:val="24"/>
          <w:szCs w:val="24"/>
        </w:rPr>
        <w:t xml:space="preserve"> </w:t>
      </w:r>
      <w:r w:rsidRPr="00DF7784">
        <w:rPr>
          <w:rFonts w:asciiTheme="minorHAnsi" w:hAnsiTheme="minorHAnsi" w:cstheme="minorHAnsi"/>
          <w:sz w:val="24"/>
          <w:szCs w:val="24"/>
        </w:rPr>
        <w:t xml:space="preserve">or </w:t>
      </w:r>
      <w:r w:rsidR="00DA609C">
        <w:rPr>
          <w:rFonts w:asciiTheme="minorHAnsi" w:hAnsiTheme="minorHAnsi" w:cstheme="minorHAnsi"/>
          <w:sz w:val="24"/>
          <w:szCs w:val="24"/>
        </w:rPr>
        <w:t>an</w:t>
      </w:r>
      <w:r w:rsidRPr="00DF7784">
        <w:rPr>
          <w:rFonts w:asciiTheme="minorHAnsi" w:hAnsiTheme="minorHAnsi" w:cstheme="minorHAnsi"/>
          <w:sz w:val="24"/>
          <w:szCs w:val="24"/>
        </w:rPr>
        <w:t xml:space="preserve">other adult with experience in this area. Once risk assessments have been completed, preventative measures should be evaluated and improved, if necessary. </w:t>
      </w:r>
    </w:p>
    <w:p w14:paraId="59ACB609" w14:textId="77777777" w:rsidR="00DF7784" w:rsidRDefault="00DF7784" w:rsidP="00DF7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Make sure volunteers are trained appropriately. </w:t>
      </w:r>
    </w:p>
    <w:p w14:paraId="40B0E21C" w14:textId="77777777" w:rsidR="00DF7784" w:rsidRDefault="00DF7784" w:rsidP="00DF7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Make sure improvements to premises/activities/events/trips are made when needed. </w:t>
      </w:r>
    </w:p>
    <w:p w14:paraId="5489C4D7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625D2AF7" w14:textId="7F8CB85D" w:rsidR="00DF7784" w:rsidRP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The delegated people will make sure that: </w:t>
      </w:r>
    </w:p>
    <w:p w14:paraId="1BBA4ADA" w14:textId="77777777" w:rsidR="00DF7784" w:rsidRDefault="00DF7784" w:rsidP="00DF7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Risk assessments are carried out at regular intervals and for all new activities. </w:t>
      </w:r>
    </w:p>
    <w:p w14:paraId="23291FC6" w14:textId="77777777" w:rsidR="00DF7784" w:rsidRDefault="00DF7784" w:rsidP="00DF7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>The completed assessments are stored in the Health and Safety file in line with the General Data Protection Regulation Policy.</w:t>
      </w:r>
    </w:p>
    <w:p w14:paraId="60CC27A5" w14:textId="77777777" w:rsidR="00DF7784" w:rsidRDefault="00DF7784" w:rsidP="00DF7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Staffing ratios of leaders to young people are adequate and DBS and Safeguarding checks are in place. </w:t>
      </w:r>
    </w:p>
    <w:p w14:paraId="0CED2DAF" w14:textId="77777777" w:rsidR="00DF7784" w:rsidRPr="00DF7784" w:rsidRDefault="00DF7784" w:rsidP="00DF778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556156E" w14:textId="77777777" w:rsidR="00DF7784" w:rsidRPr="00DF7784" w:rsidRDefault="00DF7784" w:rsidP="00DF7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F7784">
        <w:rPr>
          <w:rFonts w:asciiTheme="minorHAnsi" w:hAnsiTheme="minorHAnsi" w:cstheme="minorHAnsi"/>
          <w:b/>
          <w:bCs/>
          <w:sz w:val="24"/>
          <w:szCs w:val="24"/>
        </w:rPr>
        <w:t xml:space="preserve">Definitions </w:t>
      </w:r>
    </w:p>
    <w:p w14:paraId="425C0647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HAZARD – anything that can cause harm. </w:t>
      </w:r>
    </w:p>
    <w:p w14:paraId="72F5E283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 w:rsidRPr="00DF7784">
        <w:rPr>
          <w:rFonts w:asciiTheme="minorHAnsi" w:hAnsiTheme="minorHAnsi" w:cstheme="minorHAnsi"/>
          <w:sz w:val="24"/>
          <w:szCs w:val="24"/>
        </w:rPr>
        <w:t xml:space="preserve">RISK – the chances, high or low, someone will be harmed by a hazard. </w:t>
      </w:r>
    </w:p>
    <w:p w14:paraId="37838488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0C629AF0" w14:textId="77777777" w:rsidR="00DF7784" w:rsidRPr="00DF7784" w:rsidRDefault="00DF7784" w:rsidP="00DF7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F7784">
        <w:rPr>
          <w:rFonts w:asciiTheme="minorHAnsi" w:hAnsiTheme="minorHAnsi" w:cstheme="minorHAnsi"/>
          <w:b/>
          <w:bCs/>
          <w:sz w:val="24"/>
          <w:szCs w:val="24"/>
        </w:rPr>
        <w:t xml:space="preserve">The most recent risk assessments should be appended to this policy once complete. </w:t>
      </w:r>
    </w:p>
    <w:p w14:paraId="205DD53C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10056198" w14:textId="036C861D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  <w:r w:rsidRPr="00247F41">
        <w:rPr>
          <w:rFonts w:asciiTheme="minorHAnsi" w:hAnsiTheme="minorHAnsi" w:cstheme="minorHAnsi"/>
          <w:sz w:val="24"/>
          <w:szCs w:val="24"/>
        </w:rPr>
        <w:t xml:space="preserve">Next Review Date: </w:t>
      </w:r>
      <w:r>
        <w:rPr>
          <w:rFonts w:asciiTheme="minorHAnsi" w:hAnsiTheme="minorHAnsi" w:cstheme="minorHAnsi"/>
          <w:sz w:val="24"/>
          <w:szCs w:val="24"/>
        </w:rPr>
        <w:t>October</w:t>
      </w:r>
      <w:r w:rsidRPr="00247F41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397DC8EE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42778D1C" w14:textId="77777777" w:rsidR="00A9709C" w:rsidRDefault="00A9709C" w:rsidP="00A9709C">
      <w:pPr>
        <w:pStyle w:val="Normal0"/>
        <w:rPr>
          <w:rFonts w:ascii="Calibri" w:hAnsi="Calibri" w:cs="Calibri"/>
          <w:b/>
          <w:bCs/>
          <w:szCs w:val="24"/>
        </w:rPr>
      </w:pPr>
    </w:p>
    <w:p w14:paraId="1E988EC8" w14:textId="77777777" w:rsidR="00A9709C" w:rsidRDefault="00A9709C" w:rsidP="00A9709C">
      <w:pPr>
        <w:pStyle w:val="Normal0"/>
        <w:rPr>
          <w:rFonts w:ascii="Calibri" w:hAnsi="Calibri" w:cs="Calibri"/>
          <w:b/>
          <w:bCs/>
          <w:szCs w:val="24"/>
        </w:rPr>
      </w:pPr>
    </w:p>
    <w:p w14:paraId="68CBD79B" w14:textId="77777777" w:rsidR="00A9709C" w:rsidRDefault="00A9709C" w:rsidP="00A9709C">
      <w:pPr>
        <w:pStyle w:val="Normal0"/>
        <w:rPr>
          <w:rFonts w:ascii="Calibri" w:hAnsi="Calibri" w:cs="Calibri"/>
          <w:b/>
          <w:bCs/>
          <w:szCs w:val="24"/>
        </w:rPr>
      </w:pPr>
    </w:p>
    <w:p w14:paraId="04CF29BC" w14:textId="77777777" w:rsidR="00A9709C" w:rsidRDefault="00A9709C" w:rsidP="00A9709C">
      <w:pPr>
        <w:pStyle w:val="Normal0"/>
        <w:rPr>
          <w:rFonts w:ascii="Calibri" w:hAnsi="Calibri" w:cs="Calibri"/>
          <w:b/>
          <w:bCs/>
          <w:szCs w:val="24"/>
        </w:rPr>
      </w:pPr>
    </w:p>
    <w:p w14:paraId="58013D80" w14:textId="77777777" w:rsidR="00A9709C" w:rsidRDefault="00A9709C" w:rsidP="00A9709C">
      <w:pPr>
        <w:pStyle w:val="Normal0"/>
        <w:rPr>
          <w:rFonts w:ascii="Calibri" w:hAnsi="Calibri" w:cs="Calibri"/>
          <w:b/>
          <w:bCs/>
          <w:szCs w:val="24"/>
        </w:rPr>
      </w:pPr>
    </w:p>
    <w:p w14:paraId="3C30F0D0" w14:textId="77777777" w:rsidR="00A9709C" w:rsidRDefault="00A9709C" w:rsidP="00A9709C">
      <w:pPr>
        <w:pStyle w:val="Normal0"/>
        <w:rPr>
          <w:rFonts w:ascii="Calibri" w:hAnsi="Calibri" w:cs="Calibri"/>
          <w:b/>
          <w:bCs/>
          <w:szCs w:val="24"/>
        </w:rPr>
      </w:pPr>
    </w:p>
    <w:p w14:paraId="5DD56F8B" w14:textId="16180932" w:rsidR="00A9709C" w:rsidRDefault="00A9709C" w:rsidP="00A9709C">
      <w:pPr>
        <w:pStyle w:val="Normal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 xml:space="preserve">Signed by the </w:t>
      </w:r>
      <w:r w:rsidR="00DA609C">
        <w:rPr>
          <w:rFonts w:ascii="Calibri" w:hAnsi="Calibri" w:cs="Calibri"/>
          <w:b/>
          <w:bCs/>
          <w:szCs w:val="24"/>
        </w:rPr>
        <w:t>board of trustees</w:t>
      </w:r>
      <w:r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</w:p>
    <w:p w14:paraId="6024FCEA" w14:textId="77777777" w:rsidR="00A9709C" w:rsidRDefault="00A9709C" w:rsidP="00A9709C">
      <w:pPr>
        <w:pStyle w:val="Normal0"/>
        <w:ind w:left="720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9"/>
        <w:gridCol w:w="3012"/>
      </w:tblGrid>
      <w:tr w:rsidR="00A9709C" w14:paraId="60C25D23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98C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AFD9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Name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650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Signature</w:t>
            </w:r>
          </w:p>
        </w:tc>
      </w:tr>
      <w:tr w:rsidR="00A9709C" w14:paraId="0A87CB7E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EE25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087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CC5F8FF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583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2474B70A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5FA4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944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39ED282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FAC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50CCE030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AE09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9F9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99382F9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1F1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6493DA9C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722B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891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62C4090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EA4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0D8C5A16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521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064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C0B0828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97A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26BCF351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C85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2CD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16E2F50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58F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2D7BEB17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2CE3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EB9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BE24C61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1AA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0AE5D58E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8D27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2B2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E702FA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244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51D20030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CF6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1EF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9FF9C1F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A59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709C" w14:paraId="0A60455E" w14:textId="77777777" w:rsidTr="00A9709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12B3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7AA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032C5CD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E73" w14:textId="77777777" w:rsidR="00A9709C" w:rsidRDefault="00A9709C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777207DF" w14:textId="6098B7F1" w:rsidR="00DF7784" w:rsidRDefault="00DF7784" w:rsidP="00DF7784">
      <w:pPr>
        <w:pStyle w:val="Normal0"/>
      </w:pPr>
    </w:p>
    <w:p w14:paraId="7ABC3E6E" w14:textId="77777777" w:rsidR="00DF7784" w:rsidRDefault="00DF7784" w:rsidP="00DF7784">
      <w:pPr>
        <w:pStyle w:val="Normal0"/>
      </w:pPr>
    </w:p>
    <w:p w14:paraId="22B402C4" w14:textId="77777777" w:rsidR="00DF7784" w:rsidRDefault="00DF7784" w:rsidP="00DF7784">
      <w:pPr>
        <w:pStyle w:val="Normal0"/>
        <w:rPr>
          <w:color w:val="000000"/>
        </w:rPr>
      </w:pPr>
      <w:r>
        <w:t>Next Review date: October 2023</w:t>
      </w:r>
    </w:p>
    <w:p w14:paraId="6EDAD5F8" w14:textId="77777777" w:rsidR="00DF7784" w:rsidRDefault="00DF7784" w:rsidP="00DF7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7784" w14:paraId="64C1C3E2" w14:textId="77777777" w:rsidTr="00314E0F">
        <w:tc>
          <w:tcPr>
            <w:tcW w:w="4508" w:type="dxa"/>
            <w:gridSpan w:val="2"/>
            <w:shd w:val="clear" w:color="auto" w:fill="D9D9D9"/>
          </w:tcPr>
          <w:p w14:paraId="5C4F70D8" w14:textId="77777777" w:rsidR="00DF7784" w:rsidRPr="00F370D9" w:rsidRDefault="00DF7784" w:rsidP="00314E0F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Document Version History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6EA90215" w14:textId="77777777" w:rsidR="00DF7784" w:rsidRDefault="00DF7784" w:rsidP="00314E0F">
            <w:r w:rsidRPr="00F370D9">
              <w:rPr>
                <w:b/>
                <w:bCs/>
              </w:rPr>
              <w:t>Author:</w:t>
            </w:r>
            <w:r>
              <w:t xml:space="preserve"> Emily Timmins, Chair &amp; Youth lead</w:t>
            </w:r>
          </w:p>
        </w:tc>
      </w:tr>
      <w:tr w:rsidR="00DF7784" w14:paraId="29CD9F9D" w14:textId="77777777" w:rsidTr="00314E0F">
        <w:tc>
          <w:tcPr>
            <w:tcW w:w="2254" w:type="dxa"/>
            <w:shd w:val="clear" w:color="auto" w:fill="auto"/>
          </w:tcPr>
          <w:p w14:paraId="78849070" w14:textId="77777777" w:rsidR="00DF7784" w:rsidRPr="00F370D9" w:rsidRDefault="00DF7784" w:rsidP="00314E0F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Version</w:t>
            </w:r>
          </w:p>
        </w:tc>
        <w:tc>
          <w:tcPr>
            <w:tcW w:w="2254" w:type="dxa"/>
            <w:shd w:val="clear" w:color="auto" w:fill="auto"/>
          </w:tcPr>
          <w:p w14:paraId="10A602A4" w14:textId="77777777" w:rsidR="00DF7784" w:rsidRPr="00F370D9" w:rsidRDefault="00DF7784" w:rsidP="00314E0F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Date</w:t>
            </w:r>
          </w:p>
        </w:tc>
        <w:tc>
          <w:tcPr>
            <w:tcW w:w="2254" w:type="dxa"/>
            <w:shd w:val="clear" w:color="auto" w:fill="auto"/>
          </w:tcPr>
          <w:p w14:paraId="4BBFFB0F" w14:textId="77777777" w:rsidR="00DF7784" w:rsidRPr="00F370D9" w:rsidRDefault="00DF7784" w:rsidP="00314E0F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 xml:space="preserve">Amendments </w:t>
            </w:r>
          </w:p>
        </w:tc>
        <w:tc>
          <w:tcPr>
            <w:tcW w:w="2254" w:type="dxa"/>
            <w:shd w:val="clear" w:color="auto" w:fill="auto"/>
          </w:tcPr>
          <w:p w14:paraId="1F0F521B" w14:textId="77777777" w:rsidR="00DF7784" w:rsidRPr="00F370D9" w:rsidRDefault="00DF7784" w:rsidP="00314E0F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By Whom</w:t>
            </w:r>
          </w:p>
        </w:tc>
      </w:tr>
      <w:tr w:rsidR="00DF7784" w14:paraId="211D8BB5" w14:textId="77777777" w:rsidTr="00314E0F">
        <w:tc>
          <w:tcPr>
            <w:tcW w:w="2254" w:type="dxa"/>
            <w:shd w:val="clear" w:color="auto" w:fill="auto"/>
          </w:tcPr>
          <w:p w14:paraId="507120A7" w14:textId="77777777" w:rsidR="00DF7784" w:rsidRPr="00F370D9" w:rsidRDefault="00DF7784" w:rsidP="00314E0F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1EFE7F9C" w14:textId="77777777" w:rsidR="00DF7784" w:rsidRPr="00435017" w:rsidRDefault="00DF7784" w:rsidP="00314E0F"/>
        </w:tc>
        <w:tc>
          <w:tcPr>
            <w:tcW w:w="2254" w:type="dxa"/>
            <w:shd w:val="clear" w:color="auto" w:fill="auto"/>
          </w:tcPr>
          <w:p w14:paraId="24724E74" w14:textId="77777777" w:rsidR="00DF7784" w:rsidRPr="00435017" w:rsidRDefault="00DF7784" w:rsidP="00314E0F"/>
        </w:tc>
        <w:tc>
          <w:tcPr>
            <w:tcW w:w="2254" w:type="dxa"/>
            <w:shd w:val="clear" w:color="auto" w:fill="auto"/>
          </w:tcPr>
          <w:p w14:paraId="50387641" w14:textId="77777777" w:rsidR="00DF7784" w:rsidRPr="00435017" w:rsidRDefault="00DF7784" w:rsidP="00314E0F"/>
        </w:tc>
      </w:tr>
      <w:tr w:rsidR="00DF7784" w14:paraId="6F61607A" w14:textId="77777777" w:rsidTr="00314E0F">
        <w:tc>
          <w:tcPr>
            <w:tcW w:w="2254" w:type="dxa"/>
            <w:shd w:val="clear" w:color="auto" w:fill="auto"/>
          </w:tcPr>
          <w:p w14:paraId="05856E68" w14:textId="77777777" w:rsidR="00DF7784" w:rsidRDefault="00DF7784" w:rsidP="00314E0F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6AE9427A" w14:textId="77777777" w:rsidR="00DF7784" w:rsidRPr="00435017" w:rsidRDefault="00DF7784" w:rsidP="00314E0F"/>
        </w:tc>
        <w:tc>
          <w:tcPr>
            <w:tcW w:w="2254" w:type="dxa"/>
            <w:shd w:val="clear" w:color="auto" w:fill="auto"/>
          </w:tcPr>
          <w:p w14:paraId="11A83317" w14:textId="77777777" w:rsidR="00DF7784" w:rsidRPr="00435017" w:rsidRDefault="00DF7784" w:rsidP="00314E0F"/>
        </w:tc>
        <w:tc>
          <w:tcPr>
            <w:tcW w:w="2254" w:type="dxa"/>
            <w:shd w:val="clear" w:color="auto" w:fill="auto"/>
          </w:tcPr>
          <w:p w14:paraId="7CBCBB10" w14:textId="77777777" w:rsidR="00DF7784" w:rsidRPr="00435017" w:rsidRDefault="00DF7784" w:rsidP="00314E0F"/>
        </w:tc>
      </w:tr>
    </w:tbl>
    <w:p w14:paraId="05BF1858" w14:textId="77777777" w:rsidR="00DF7784" w:rsidRPr="00247F41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0F158A5D" w14:textId="77777777" w:rsid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4869D392" w14:textId="77777777" w:rsidR="00DF7784" w:rsidRPr="006213A0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p w14:paraId="423EEA00" w14:textId="461A6E5E" w:rsidR="00DF7784" w:rsidRPr="00DF7784" w:rsidRDefault="00DF7784" w:rsidP="00DF7784">
      <w:pPr>
        <w:rPr>
          <w:rFonts w:asciiTheme="minorHAnsi" w:hAnsiTheme="minorHAnsi" w:cstheme="minorHAnsi"/>
          <w:sz w:val="24"/>
          <w:szCs w:val="24"/>
        </w:rPr>
      </w:pPr>
    </w:p>
    <w:sectPr w:rsidR="00DF7784" w:rsidRPr="00DF77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F379" w14:textId="77777777" w:rsidR="00206CAC" w:rsidRDefault="00206CAC" w:rsidP="00A9709C">
      <w:r>
        <w:separator/>
      </w:r>
    </w:p>
  </w:endnote>
  <w:endnote w:type="continuationSeparator" w:id="0">
    <w:p w14:paraId="20E7E2A1" w14:textId="77777777" w:rsidR="00206CAC" w:rsidRDefault="00206CAC" w:rsidP="00A9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DA5D" w14:textId="77777777" w:rsidR="00206CAC" w:rsidRDefault="00206CAC" w:rsidP="00A9709C">
      <w:r>
        <w:separator/>
      </w:r>
    </w:p>
  </w:footnote>
  <w:footnote w:type="continuationSeparator" w:id="0">
    <w:p w14:paraId="063C4671" w14:textId="77777777" w:rsidR="00206CAC" w:rsidRDefault="00206CAC" w:rsidP="00A9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5B5B" w14:textId="27D6A7AF" w:rsidR="00A9709C" w:rsidRDefault="00A9709C" w:rsidP="00A9709C">
    <w:pPr>
      <w:pStyle w:val="Normal0"/>
      <w:jc w:val="center"/>
      <w:rPr>
        <w:rFonts w:ascii="Calibri" w:hAnsi="Calibri" w:cs="Calibr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031F47" wp14:editId="4BD396CE">
          <wp:simplePos x="0" y="0"/>
          <wp:positionH relativeFrom="column">
            <wp:posOffset>5025390</wp:posOffset>
          </wp:positionH>
          <wp:positionV relativeFrom="paragraph">
            <wp:posOffset>0</wp:posOffset>
          </wp:positionV>
          <wp:extent cx="1153160" cy="914400"/>
          <wp:effectExtent l="0" t="0" r="8890" b="0"/>
          <wp:wrapTight wrapText="bothSides">
            <wp:wrapPolygon edited="0">
              <wp:start x="0" y="0"/>
              <wp:lineTo x="0" y="21150"/>
              <wp:lineTo x="21410" y="21150"/>
              <wp:lineTo x="2141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4D28B9" wp14:editId="1E1FFCA1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4"/>
        <w:szCs w:val="44"/>
      </w:rPr>
      <w:t xml:space="preserve"> </w:t>
    </w:r>
    <w:r>
      <w:rPr>
        <w:rFonts w:ascii="Calibri" w:hAnsi="Calibri" w:cs="Calibri"/>
        <w:b/>
        <w:color w:val="000000"/>
        <w:sz w:val="44"/>
        <w:szCs w:val="44"/>
      </w:rPr>
      <w:t>Risk Assessment Policy</w:t>
    </w:r>
  </w:p>
  <w:p w14:paraId="7A8CA2BF" w14:textId="77777777" w:rsidR="00A9709C" w:rsidRDefault="00A9709C" w:rsidP="00A9709C">
    <w:pPr>
      <w:pStyle w:val="Normal0"/>
      <w:jc w:val="center"/>
      <w:rPr>
        <w:rFonts w:ascii="Calibri" w:hAnsi="Calibri" w:cs="Calibri"/>
        <w:bCs/>
        <w:sz w:val="36"/>
        <w:szCs w:val="36"/>
      </w:rPr>
    </w:pPr>
  </w:p>
  <w:p w14:paraId="004C80C9" w14:textId="77777777" w:rsidR="00A9709C" w:rsidRDefault="00A9709C" w:rsidP="00A9709C">
    <w:pPr>
      <w:pStyle w:val="Normal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Cs/>
        <w:sz w:val="28"/>
        <w:szCs w:val="28"/>
      </w:rPr>
      <w:t>Updated: October 2022</w:t>
    </w:r>
  </w:p>
  <w:p w14:paraId="11F55B31" w14:textId="77777777" w:rsidR="00A9709C" w:rsidRDefault="00A9709C" w:rsidP="00A9709C"/>
  <w:p w14:paraId="67CC2765" w14:textId="21CBF083" w:rsidR="00A9709C" w:rsidRDefault="00A9709C">
    <w:pPr>
      <w:pStyle w:val="Header"/>
    </w:pPr>
  </w:p>
  <w:p w14:paraId="2BB8AF99" w14:textId="77777777" w:rsidR="00A9709C" w:rsidRDefault="00A9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2F94"/>
    <w:multiLevelType w:val="hybridMultilevel"/>
    <w:tmpl w:val="EFD4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0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84"/>
    <w:rsid w:val="00206CAC"/>
    <w:rsid w:val="005B102F"/>
    <w:rsid w:val="007B0D51"/>
    <w:rsid w:val="00A619FB"/>
    <w:rsid w:val="00A9709C"/>
    <w:rsid w:val="00DA609C"/>
    <w:rsid w:val="00D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E304"/>
  <w15:chartTrackingRefBased/>
  <w15:docId w15:val="{3ACB9B94-BDA2-40EF-B2EC-09196A6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F7784"/>
    <w:rPr>
      <w:rFonts w:ascii="Arial" w:eastAsia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F7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Pettiford</dc:creator>
  <cp:keywords/>
  <dc:description/>
  <cp:lastModifiedBy>Emily Pettiford</cp:lastModifiedBy>
  <cp:revision>4</cp:revision>
  <dcterms:created xsi:type="dcterms:W3CDTF">2022-10-08T16:58:00Z</dcterms:created>
  <dcterms:modified xsi:type="dcterms:W3CDTF">2023-03-19T20:41:00Z</dcterms:modified>
</cp:coreProperties>
</file>